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KomBekVO (Sachsen) — Ersatzbekanntmachung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Sind Pläne oder zeichnerische Darstellungen, insbesondere Karten, Bestandteile einer Rechtsverordnung oder Satzung, können sie dadurch öffentlich bekanntgemacht werden, dass</w:t>
      </w:r>
    </w:p>
    <w:p>
      <w:r>
        <w:t xml:space="preserve">1. ihr wesentlicher Inhalt in der Rechtsverordnung oder Satzung umschrieben wird,</w:t>
      </w:r>
    </w:p>
    <w:p>
      <w:r>
        <w:t xml:space="preserve">2. sie an einer bestimmten Verwaltungsstelle zur kostenlosen Einsicht durch jedermann während der Sprechzeiten, mindestens aber wöchentlich 20 Stunden, für die Dauer von mindestens zwei Wochen niedergelegt werden und</w:t>
      </w:r>
    </w:p>
    <w:p>
      <w:r>
        <w:t xml:space="preserve">3. hierauf bei der Bekanntmachung der Rechtsverordnung oder Satzung hingewiesen wird.</w:t>
      </w:r>
    </w:p>
    <w:p>
      <w:r>
        <w:t xml:space="preserve">(2) Absatz 1 gilt für sonstige öffentliche Bekanntmachungen entsprechend.</w:t>
      </w:r>
    </w:p>
    <w:p>
      <w:r>
        <w:rPr>
          <w:color w:val="555555"/>
          <w:sz w:val="17"/>
        </w:rPr>
        <w:t xml:space="preserve">Zitiervorschlag: § 8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