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KomBekVO (Sachsen) — Öffentliche Bekanntmachungen der Gemeinden</w:t>
      </w:r>
    </w:p>
    <w:p>
      <w:r>
        <w:rPr>
          <w:color w:val="555555"/>
          <w:sz w:val="18"/>
        </w:rPr>
        <w:t xml:space="preserve">Kommunalbekanntmachungsverordnung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Öffentliche Bekanntmachungen der Gemeinden sind in einer der nachfolgend genannten Formen durchzuführen:</w:t>
      </w:r>
    </w:p>
    <w:p>
      <w:r>
        <w:t xml:space="preserve">1. durch Abdruck im Amtsblatt der Gemeinde oder des Landkreises, dem die Gemeinde angehört,</w:t>
      </w:r>
    </w:p>
    <w:p>
      <w:r>
        <w:t xml:space="preserve">2. durch Abdruck in einer oder mehreren bestimmten, regelmäßig, mindestens einmal wöchentlich erscheinenden Zeitungen, deren Verbreitung sich mindestens auf das Gebiet der Gemeinde erstreckt,</w:t>
      </w:r>
    </w:p>
    <w:p>
      <w:r>
        <w:t xml:space="preserve">3. sofern die Gemeinde weniger als 3 000 Einwohner hat, durch Aushang an der Bekanntmachungstafel und bei räumlich getrennten Ortsteilen an weiteren hierfür bestimmten Stellen während der Dauer von mindestens einer Woche; auf den Aushang und seine Dauer ist rechtzeitig im Amtsblatt der Gemeinde oder des Landkreises oder in einer Zeitung im Sinne der Nummer 2 hinzuweisen oder</w:t>
      </w:r>
    </w:p>
    <w:p>
      <w:r>
        <w:t xml:space="preserve">4. durch eine elektronische Ausgabe nach § 4 des Sächsischen E-Government-Gesetzes vom 9. Juli 2014 (SächsGVBl. S. 398), das durch die Verordnung vom 4. April 2015 (SächsGVBl. S. 374) geändert worden ist, in der jeweils geltenden Fassung.</w:t>
      </w:r>
    </w:p>
    <w:p>
      <w:r>
        <w:rPr>
          <w:color w:val="555555"/>
          <w:sz w:val="17"/>
        </w:rPr>
        <w:t xml:space="preserve">Zitiervorschlag: § 2 KomBekVO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https://recht.nulegal.eu/gesetze/KomBekVO/2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