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KomBekVO (Sachsen) — Inkrafttreten, Außerkrafttreten</w:t>
      </w:r>
    </w:p>
    <w:p>
      <w:r>
        <w:rPr>
          <w:color w:val="555555"/>
          <w:sz w:val="18"/>
        </w:rPr>
        <w:t xml:space="preserve">Kommunalbekanntmachungsverordnung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Kommunalbekanntmachungsverordnung vom 19. Dezember 1997 (SächsGVBl. 1998 S. 19) außer Kraft.</w:t>
      </w:r>
    </w:p>
    <w:p>
      <w:r>
        <w:t xml:space="preserve">Dresden, den 17. Dezember 2015</w:t>
      </w:r>
    </w:p>
    <w:p>
      <w:r>
        <w:t xml:space="preserve">Der Staatsminister des Innern</w:t>
      </w:r>
    </w:p>
    <w:p>
      <w:r>
        <w:t xml:space="preserve">Markus Ulbig</w:t>
      </w:r>
    </w:p>
    <w:p>
      <w:r>
        <w:rPr>
          <w:color w:val="555555"/>
          <w:sz w:val="17"/>
        </w:rPr>
        <w:t xml:space="preserve">Zitiervorschlag: § 11 KomBekVO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https://recht.nulegal.eu/gesetze/KomBekVO/11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