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KomBekVO (Sachsen) — Geltungsbereich</w:t>
      </w:r>
    </w:p>
    <w:p>
      <w:r>
        <w:rPr>
          <w:color w:val="555555"/>
          <w:sz w:val="18"/>
        </w:rPr>
        <w:t xml:space="preserve">Kommunalbekanntmachungsverordnung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öffentliche Bekanntmachungen der Gemeinden, Verwaltungsverbände, Landkreise und Zweckverbände, soweit nicht besondere bundes- oder landesrechtliche Vorschriften anzuwenden sind. Öffentliche Bekanntmachungen im Sinne dieser Verordnung sind:</w:t>
      </w:r>
    </w:p>
    <w:p>
      <w:r>
        <w:t xml:space="preserve">1. die Verkündung von Rechtsverordnungen,</w:t>
      </w:r>
    </w:p>
    <w:p>
      <w:r>
        <w:t xml:space="preserve">2. die öffentliche Bekanntmachung von Satzungen und</w:t>
      </w:r>
    </w:p>
    <w:p>
      <w:r>
        <w:t xml:space="preserve">3. sonstige durch Rechtsvorschrift vorgeschriebene öffentliche Bekanntmachungen und öffentliche Bekanntgaben.</w:t>
      </w:r>
    </w:p>
    <w:p>
      <w:r>
        <w:rPr>
          <w:color w:val="555555"/>
          <w:sz w:val="17"/>
        </w:rPr>
        <w:t xml:space="preserve">Zitiervorschlag: § 1 KomBekVO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https://recht.nulegal.eu/gesetze/KomBekVO/1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