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KomAbwV (Nordrhein-Westfalen) — Einleitung von industriellem Abwasser in ein Gewässer</w:t>
      </w:r>
    </w:p>
    <w:p>
      <w:r>
        <w:rPr>
          <w:color w:val="555555"/>
          <w:sz w:val="18"/>
        </w:rPr>
        <w:t xml:space="preserve">Kommunalabwasserverordnung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Einleiter von biologisch abbaubarem industriellem Abwasser aus den in der Anlage zu dieser Verordnung aufgeführten Industriebranchen haben die auf Grund des § 57 des Wasserhaushaltsgesetzes hierfür erlassenen Anforderungen bis zum 31. Dezember 2000 einzuhalten.</w:t>
      </w:r>
    </w:p>
    <w:p>
      <w:r>
        <w:t xml:space="preserve">(2) Die in Absatz 1 genannte Frist kann auf besonderen Antrag durch die für die Erteilung der Einleitungserlaubnis zuständige Behörde verlängert werden. § 5 Abs. 2 S. 3 dieser Verordnung gilt entsprechend.</w:t>
      </w:r>
    </w:p>
    <w:p>
      <w:r>
        <w:rPr>
          <w:color w:val="555555"/>
          <w:sz w:val="17"/>
        </w:rPr>
        <w:t xml:space="preserve">Zitiervorschlag: § 7 KomAbwV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https://recht.nulegal.eu/gesetze/KomAbwV/7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