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KomAbwV (Nordrhein-Westfalen) — Kanalisation</w:t>
      </w:r>
    </w:p>
    <w:p>
      <w:r>
        <w:rPr>
          <w:color w:val="555555"/>
          <w:sz w:val="18"/>
        </w:rPr>
        <w:t xml:space="preserve">Kommunalabwasserverordnung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46 des Landeswassergesetzes vom 25. Juni 1995 (GV. NRW. S. 133) in der jeweils geltenden Fassung zur Abwasserbeseitigung Verpflichteten haben gemeindliche Gebiete</w:t>
      </w:r>
    </w:p>
    <w:p>
      <w:r>
        <w:t xml:space="preserve">1. mit mehr als 10.000 EW bis zum 31. Dezember 1998,</w:t>
      </w:r>
    </w:p>
    <w:p>
      <w:r>
        <w:t xml:space="preserve">2. bis 10.000 EW bis zum 31. Dezember 2005</w:t>
      </w:r>
    </w:p>
    <w:p>
      <w:r>
        <w:t xml:space="preserve">mit einer Kanalisation auszustatten.</w:t>
      </w:r>
    </w:p>
    <w:p>
      <w:r>
        <w:t xml:space="preserve">(2) Die Verpflichtung nach Absatz 1 Nr. 2 gilt nicht für Grundstücke außerhalb im Zusammenhang bebauter Ortsteile, wenn der zur Abwasserbeseitigung Verpflichtete nach Maßgabe des § 49 Absatz 5 des Landeswassergesetzes von seiner Pflicht freigestellt worden ist.</w:t>
      </w:r>
    </w:p>
    <w:p>
      <w:r>
        <w:t xml:space="preserve">(2a) Ist die Ausstattung mit einer Kanalisation für Grundstücke außerhalb im Zusammenhang bebauter Ortsteile mit einem innerhalb der Frist des Absatz 1 Nr. 2 unzumutbaren Aufwand verbunden, kann der zur Abwasserbeseitigung Verpflichtete im Abwasserbeseitigungskonzept (§ 47 des Landeswassergesetzes) eine weitergehende Frist vorsehen. Diese Frist ist verbindlich, wenn die zuständige Behörde sie gemäß § 47 Absatz 2 Satz 2 des Landeswassergesetzes nicht beanstandet.</w:t>
      </w:r>
    </w:p>
    <w:p>
      <w:r>
        <w:t xml:space="preserve">(3) Die Kanalisation muß den Anforderungen an die Abwasserbehandlung Rechnung tragen. Bei Entwurf, Bau und Unterhaltung sind die optimalen technischen Kenntnisse nach Maßgabe der Anforderungen des § 60 des Wasserhaushaltsgesetzes und des § 57 des Landeswassergesetzes zugrunde zu legen, die keine unverhältnismäßig hohen Kosten verursachen; dies betrifft insbesondere:</w:t>
      </w:r>
    </w:p>
    <w:p>
      <w:r>
        <w:t xml:space="preserve">- die Menge und Zusammensetzung der kommunalen Abwässer,</w:t>
      </w:r>
    </w:p>
    <w:p>
      <w:r>
        <w:t xml:space="preserve">- die Verhinderung von Leckagen,</w:t>
      </w:r>
    </w:p>
    <w:p>
      <w:r>
        <w:t xml:space="preserve">- die Begrenzung einer Verschmutzung der aufnehmenden Gewässer durch</w:t>
      </w:r>
    </w:p>
    <w:p>
      <w:r>
        <w:t xml:space="preserve">Regenüberläufe.</w:t>
      </w:r>
    </w:p>
    <w:p>
      <w:r>
        <w:rPr>
          <w:color w:val="555555"/>
          <w:sz w:val="17"/>
        </w:rPr>
        <w:t xml:space="preserve">Zitiervorschlag: § 4 KomAbwV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https://recht.nulegal.eu/gesetze/KomAbwV/4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