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KomAbwV (Nordrhein-Westfalen) — In-Kraft-Treten, Berichtspflicht</w:t>
      </w:r>
    </w:p>
    <w:p>
      <w:r>
        <w:rPr>
          <w:color w:val="555555"/>
          <w:sz w:val="18"/>
        </w:rPr>
        <w:t xml:space="preserve">Kommunalabwasserverordnung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 Über die Erfahrungen mit dieser Verordnung ist der Landesregierung bis zum 31. Dezember 2009 zu berichten.</w:t>
      </w:r>
    </w:p>
    <w:p>
      <w:r>
        <w:t xml:space="preserve">Die Ministerin für Umwelt,</w:t>
      </w:r>
    </w:p>
    <w:p>
      <w:r>
        <w:t xml:space="preserve">Raumordnung und Landwirtschaft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170 des Vierten Befristungsgesetzes vom 5.4.2005 (GV. NRW. S. 332))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12 KomAbwV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https://recht.nulegal.eu/gesetze/KomAbwV/12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