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 KomAbwV (Nordrhein-Westfalen) — Klärschlamm</w:t>
      </w:r>
    </w:p>
    <w:p>
      <w:r>
        <w:rPr>
          <w:color w:val="555555"/>
          <w:sz w:val="18"/>
        </w:rPr>
        <w:t xml:space="preserve">Kommunalabwasserverordnung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Klärschlamm aus der Abwasserbehandlung darf nicht in Gewässer eingeleitet werden. Er soll unter Einhaltung der Vorschriften der Klärschlammverordnung verwertet oder andernfalls entsprechend den sonstigen Vorschriften des Abfallrechtes entsorgt werden.</w:t>
      </w:r>
    </w:p>
    <w:p>
      <w:r>
        <w:rPr>
          <w:color w:val="555555"/>
          <w:sz w:val="17"/>
        </w:rPr>
        <w:t xml:space="preserve">Zitiervorschlag: § 11 KomAbwV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https://recht.nulegal.eu/gesetze/KomAbwV/11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