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KomAbwV (Nordrhein-Westfalen) — Weitergehende Anforderungen</w:t>
      </w:r>
    </w:p>
    <w:p>
      <w:r>
        <w:rPr>
          <w:color w:val="555555"/>
          <w:sz w:val="18"/>
        </w:rPr>
        <w:t xml:space="preserve">Kommunalabwasserverordnung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Weitergehende öffentlich-rechtliche Anforderungen an die Abwasseranlagen und Abwassereinleitungen, insbesondere nach dem Wasserhaushaltsgesetz, dem Landeswassergesetz und den hierzu erlassenen Verordnungen bleiben unberührt.</w:t>
      </w:r>
    </w:p>
    <w:p>
      <w:r>
        <w:rPr>
          <w:color w:val="555555"/>
          <w:sz w:val="17"/>
        </w:rPr>
        <w:t xml:space="preserve">Zitiervorschlag: § 10 KomAbwV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https://recht.nulegal.eu/gesetze/KomAbwV/10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