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KomAbwV (Nordrhein-Westfalen) — Zweck und Geltungsbereich</w:t>
      </w:r>
    </w:p>
    <w:p>
      <w:r>
        <w:rPr>
          <w:color w:val="555555"/>
          <w:sz w:val="18"/>
        </w:rPr>
        <w:t xml:space="preserve">Kommunalabwasserverordnung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dient der Umsetzung der Richtlinie 91/271/EWG des Rates vom 21. Mai 1991 über die Behandlung von kommunalem Abwasser und dem Schutz oberirdischer Gewässer vor schädlichen Auswirkungen dieses Abwassers (Abl. EG Nr. L 135 S. 40).</w:t>
      </w:r>
    </w:p>
    <w:p>
      <w:r>
        <w:t xml:space="preserve">(2) Sie gilt für das Sammeln, Behandeln und Einleiten von kommunalem Abwasser und das Behandeln und Einleiten von Abwasser aus den in der Anlage 1 genannten Industriebranchen.</w:t>
      </w:r>
    </w:p>
    <w:p>
      <w:r>
        <w:rPr>
          <w:color w:val="555555"/>
          <w:sz w:val="17"/>
        </w:rPr>
        <w:t xml:space="preserve">Zitiervorschlag: § 1 KomAbwV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https://recht.nulegal.eu/gesetze/KomAbwV/1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