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 KomAGRhPfBayVVStV (Bayern)</w:t>
      </w:r>
    </w:p>
    <w:p>
      <w:r>
        <w:rPr>
          <w:color w:val="555555"/>
          <w:sz w:val="18"/>
        </w:rPr>
        <w:t xml:space="preserve">Staatsvertrag zwischen dem Freistaat Bayern und dem Land Rheinland-Pfalz über die Mitgliedschaft kommunaler Arbeitgeber im Land Rheinland-Pfalz bei dem Bayerischen Versorgungsverband – Zusatzversorgungskasse der bayerischen Gemeinden Vom 11. November/5. Dezember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bedarf der Ratifikation. Die Ratifikationsurkunden werden ausgetauscht. Der Staatsvertrag tritt mit Wirkung vom 1. Januar 1995 in Kraft.</w:t>
      </w:r>
    </w:p>
    <w:p>
      <w:r>
        <w:t xml:space="preserve">(2) Das bayerische Gesetz über das öffentliche Versorgungswesen vom 25. Juni 1994 ist mit seinem Ersten, Dritten und Siebten Teil als Anlage zu diesem Staatsvertrag im Gesetz- und Verordnungsblatt für das Land Rheinland-Pfalz bekanntzumachen.</w:t>
      </w:r>
    </w:p>
    <w:p>
      <w:r>
        <w:rPr>
          <w:color w:val="555555"/>
          <w:sz w:val="17"/>
        </w:rPr>
        <w:t xml:space="preserve">Zitiervorschlag: Art 7 KomAGRhPfBayVVStV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https://recht.nulegal.eu/gesetze/KomAGRhPfBayVVStV/7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 KomAGRhPfBayVVStV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