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Art 2 KomAGRhPfBayVVStV (Bayern)</w:t>
      </w:r>
    </w:p>
    <w:p>
      <w:r>
        <w:rPr>
          <w:color w:val="555555"/>
          <w:sz w:val="18"/>
        </w:rPr>
        <w:t xml:space="preserve">Staatsvertrag zwischen dem Freistaat Bayern und dem Land Rheinland-Pfalz über die Mitgliedschaft kommunaler Arbeitgeber im Land Rheinland-Pfalz bei dem Bayerischen Versorgungsverband – Zusatzversorgungskasse der bayerischen Gemeinden Vom 11. November/5. Dezember 1996</w:t>
      </w:r>
    </w:p>
    <w:p>
      <w:r>
        <w:rPr>
          <w:color w:val="555555"/>
          <w:sz w:val="18"/>
        </w:rPr>
        <w:t xml:space="preserve">Landesrecht Bayern</w:t>
      </w:r>
    </w:p>
    <w:p>
      <w:r>
        <w:rPr>
          <w:color w:val="555555"/>
          <w:sz w:val="18"/>
        </w:rPr>
        <w:t xml:space="preserve">Stand: 25.08.2026 (konsolidierte Textfassung, kein amtliches Inkrafttretensdatum)</w:t>
      </w:r>
    </w:p>
    <w:p>
      <w:r>
        <w:t xml:space="preserve">Die Kassenmitglieder aus dem Land Rheinland-Pfalz haben die gleichen Rechte und Pflichten wie die Kassenmitglieder aus dem Freistaat Bayern. Die Rechte und Pflichten ergeben sich aus diesem Staatsvertrag, der Satzung der Kasse in ihrer jeweils geltenden Fassung und aus den satzungsgemäßen Beschlüssen des Verwaltungsrats der Kasse.</w:t>
      </w:r>
    </w:p>
    <w:p>
      <w:r>
        <w:rPr>
          <w:color w:val="555555"/>
          <w:sz w:val="17"/>
        </w:rPr>
        <w:t xml:space="preserve">Zitiervorschlag: Art 2 KomAGRhPfBayVVStV (Bayern)</w:t>
      </w:r>
    </w:p>
    <w:p>
      <w:r>
        <w:rPr>
          <w:color w:val="555555"/>
          <w:sz w:val="17"/>
        </w:rPr>
        <w:t xml:space="preserve">Quelle: bayernrecht, abgerufen 25.08.2026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https://recht.nulegal.eu/gesetze/KomAGRhPfBayVVStV/2</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