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KomAEV (Brandenburg) — Inkrafttreten</w:t>
      </w:r>
    </w:p>
    <w:p>
      <w:r>
        <w:rPr>
          <w:color w:val="555555"/>
          <w:sz w:val="18"/>
        </w:rPr>
        <w:t xml:space="preserve">Kommunalaufwandsentschädigungsverordnung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31. Mai 2019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rPr>
          <w:color w:val="555555"/>
          <w:sz w:val="17"/>
        </w:rPr>
        <w:t xml:space="preserve">Zitiervorschlag: § 16 KomAEV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https://recht.nulegal.eu/gesetze/KomAEV/16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