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KomAEV (Brandenburg) — Anpassung von Entschädigungssatzungen</w:t>
      </w:r>
    </w:p>
    <w:p>
      <w:r>
        <w:rPr>
          <w:color w:val="555555"/>
          <w:sz w:val="18"/>
        </w:rPr>
        <w:t xml:space="preserve">Kommunalaufwandsentschädigungsverordnung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Soweit Satzungsregelungen dieser Verordnung widersprechen, treten sie am 1. Juli 2020 außer Kraft.</w:t>
      </w:r>
    </w:p>
    <w:p>
      <w:r>
        <w:t xml:space="preserve">(2) Entschädigungssatzungen können vorsehen, dass erstmalige und höhere Aufwandsentschädigungen rückwirkend ab dem Ersten des auf das Inkrafttreten dieser Verordnung folgenden Monats gewährt werden.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15 KomAEV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https://recht.nulegal.eu/gesetze/KomAEV/15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