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KomAEV (Brandenburg) — Ersatz von Aufwendungen für Betreuung</w:t>
      </w:r>
    </w:p>
    <w:p>
      <w:r>
        <w:rPr>
          <w:color w:val="555555"/>
          <w:sz w:val="18"/>
        </w:rPr>
        <w:t xml:space="preserve">Kommunalaufwandsentschädigungsverordnung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Betreuung von Kindern bis zum vollendeten vierzehnten Lebensjahr oder zur Pflege von Angehörigen kann, sofern eine ausreichende Beaufsichtigung oder Betreuung anderweitig nicht sichergestellt werden kann, für die Dauer der mandatsbedingten notwendigen Abwesenheit eine Entschädigung gegen Nachweis gewährt werden, wenn die Übernahme der Betreuung durch Personensorgeberechtigte während dieser Zeit nicht möglich ist.</w:t>
      </w:r>
    </w:p>
    <w:p>
      <w:r>
        <w:t xml:space="preserve">(2) Der zu erstattende Höchstbetrag kann in der Entschädigungssatzung bestimmt werden.</w:t>
      </w:r>
    </w:p>
    <w:p>
      <w:r>
        <w:t xml:space="preserve">Einzelnorm</w:t>
      </w:r>
    </w:p>
    <w:p>
      <w:r>
        <w:rPr>
          <w:color w:val="555555"/>
          <w:sz w:val="17"/>
        </w:rPr>
        <w:t xml:space="preserve">Zitiervorschlag: § 12 KomAEV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https://recht.nulegal.eu/gesetze/KomAEV/12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