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KomAEV (Brandenburg) — Ersatz des Verdienstausfalls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 Verdienstausfall wird nicht mit der pauschalen Aufwandsentschädigung oder dem Sitzungsgeld abgegolten. Der Verdienstausfall wird auf Antrag und nur gegen Bescheinigung des Arbeitgebers erstattet; Selbständige und freiberuflich Tätige müssen den Verdienstausfall glaubhaft machen.</w:t>
      </w:r>
    </w:p>
    <w:p>
      <w:r>
        <w:t xml:space="preserve">(2) Der Ersatz des Verdienstausfalls ist monatlich auf 35 Stunden zu begrenzen.</w:t>
      </w:r>
    </w:p>
    <w:p>
      <w:r>
        <w:t xml:space="preserve">(3) Der Anspruch auf Ersatz des Verdienstausfalls ist nach Erreichen der Regelaltersgrenze ausgeschlossen, wenn keine auf Erwerb ausgerichtete Tätigkeit wahrgenommen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