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KomAEV (Brandenburg) — Sitzungsgeld für sachkundige Einwohnerinnen und Einwohner</w:t>
      </w:r>
    </w:p>
    <w:p>
      <w:r>
        <w:rPr>
          <w:color w:val="555555"/>
          <w:sz w:val="18"/>
        </w:rPr>
        <w:t xml:space="preserve">Kommunalaufwandsentschädigungsverordnung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Sachkundige Einwohnerinnen und Einwohner in Gemeinden und Landkreisen können Sitzungsgeld in Höhe von höchstens 30 Euro erhalten.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KomAEV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https://recht.nulegal.eu/gesetze/KomAEV/10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