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KohleUMeldeG</w:t>
      </w:r>
    </w:p>
    <w:p>
      <w:r>
        <w:rPr>
          <w:color w:val="555555"/>
          <w:sz w:val="18"/>
        </w:rPr>
        <w:t xml:space="preserve">Gesetz über Meldungen der Unternehmen des deutschen Steinkohlenbergbaus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auch im Land Berlin. Rechtsverordnungen, die auf Grund dieses Gesetzes erlassen werden, gelten im Land Berlin nach § 14 des Dritten Überleitungsgesetzes.</w:t>
      </w:r>
    </w:p>
    <w:p>
      <w:r>
        <w:rPr>
          <w:color w:val="555555"/>
          <w:sz w:val="17"/>
        </w:rPr>
        <w:t xml:space="preserve">Zitiervorschlag: § 2 KohleUMeldeG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https://recht.nulegal.eu/gesetze/KohleUMeldeG/2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