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KohleUGrV</w:t>
      </w:r>
    </w:p>
    <w:p>
      <w:r>
        <w:rPr>
          <w:color w:val="555555"/>
          <w:sz w:val="18"/>
        </w:rPr>
        <w:t xml:space="preserve">Verordnung über die Maßstäbe für die Ermittlung der optimalen Unternehmensgrößen im Steinkohlenbergbau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20 des Gesetzes zur Anpassung und Gesundung des deutschen Steinkohlenbergbaus und der deutschen Steinkohlenbergbaugebiete vom 15. Mai 1968 (Bundesgesetzbl. I S. 365) wird verordnet:</w:t>
      </w:r>
    </w:p>
    <w:p>
      <w:r>
        <w:rPr>
          <w:color w:val="555555"/>
          <w:sz w:val="17"/>
        </w:rPr>
        <w:t xml:space="preserve">Zitiervorschlag: Eingangsformel KohleUGrV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https://recht.nulegal.eu/gesetze/KohleUGrV/eingangsformel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