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KohleUGrV — Anwendung im Land Berlin</w:t>
      </w:r>
    </w:p>
    <w:p>
      <w:r>
        <w:rPr>
          <w:color w:val="555555"/>
          <w:sz w:val="18"/>
        </w:rPr>
        <w:t xml:space="preserve">Verordnung über die Maßstäbe für die Ermittlung der optimalen Unternehmensgrößen im Steinkohlenbergbau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43 Satz 2 des Gesetzes auch im Land Berlin.</w:t>
      </w:r>
    </w:p>
    <w:p>
      <w:r>
        <w:rPr>
          <w:color w:val="555555"/>
          <w:sz w:val="17"/>
        </w:rPr>
        <w:t xml:space="preserve">Zitiervorschlag: § 6 KohleUGrV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https://recht.nulegal.eu/gesetze/KohleUGrV/6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