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KohleUGrV — Belegschaftswesen</w:t>
      </w:r>
    </w:p>
    <w:p>
      <w:r>
        <w:rPr>
          <w:color w:val="555555"/>
          <w:sz w:val="18"/>
        </w:rPr>
        <w:t xml:space="preserve">Verordnung über die Maßstäbe für die Ermittlung der optimalen Unternehmensgrößen im Steinkohlenbergbau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Unternehmen muß die Durchführung einer einheitlichen Planung des Belegschaftswesens für die im Steinkohlenbergbau eines Steinkohlenbergbaugebietes Beschäftigten gewährleisten, insbesondere sicherstellen, daß bei Konzentrations- und Anpassungsmaßnahmen</w:t>
      </w:r>
    </w:p>
    <w:p>
      <w:pPr>
        <w:ind w:left="420"/>
      </w:pPr>
      <w:r>
        <w:t xml:space="preserve">1. notwendige Verlegungen von Arbeitnehmern mit der geringstmöglichen Belastung für die Betroffenen vorgenommen,</w:t>
      </w:r>
    </w:p>
    <w:p>
      <w:pPr>
        <w:ind w:left="420"/>
      </w:pPr>
      <w:r>
        <w:t xml:space="preserve">2. Entlassungen möglichst vermieden und</w:t>
      </w:r>
    </w:p>
    <w:p>
      <w:pPr>
        <w:ind w:left="420"/>
      </w:pPr>
      <w:r>
        <w:t xml:space="preserve">3. unvermeidbare Entlassungen nur im Rahmen einer innerhalb des Steinkohlenbergbaugebietes ausgleichenden Belegschaftsplanung durchgeführt</w:t>
      </w:r>
    </w:p>
    <w:p>
      <w:r>
        <w:t xml:space="preserve">werden.</w:t>
      </w:r>
    </w:p>
    <w:p>
      <w:r>
        <w:rPr>
          <w:color w:val="555555"/>
          <w:sz w:val="17"/>
        </w:rPr>
        <w:t xml:space="preserve">Zitiervorschlag: § 5 KohleUGrV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https://recht.nulegal.eu/gesetze/KohleUGrV/5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