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KohleUGrV — Abbauplanung, Rationalisierung</w:t>
      </w:r>
    </w:p>
    <w:p>
      <w:r>
        <w:rPr>
          <w:color w:val="555555"/>
          <w:sz w:val="18"/>
        </w:rPr>
        <w:t xml:space="preserve">Verordnung über die Maßstäbe für die Ermittlung der optimalen Unternehmensgrößen im Steinkohlenbergbau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Unternehmen muß gewährleisten, daß es</w:t>
      </w:r>
    </w:p>
    <w:p>
      <w:pPr>
        <w:ind w:left="420"/>
      </w:pPr>
      <w:r>
        <w:t xml:space="preserve">1. die Lagerstätte nach den vorgegebenen natürlichen Verhältnissen innerhalb eines Steinkohlenbergbaugebietes und nach bergwirtschaftlichen und bergtechnischen Erfordernissen abbauen kann, um insbesondere einen geeigneten Zuschnitt der Baufelder für die einzelnen Steinkohlenbergwerke sicherzustellen;</w:t>
      </w:r>
    </w:p>
    <w:p>
      <w:pPr>
        <w:ind w:left="420"/>
      </w:pPr>
      <w:r>
        <w:t xml:space="preserve">2. alle Möglichkeiten der inner- und überbetrieblichen Rationalisierung der Betriebe in einem Steinkohlenbergbaugebiet, insbesondere für regional zusammenhängende Gruppen von Steinkohlenbergwerken nutzen kann.</w:t>
      </w:r>
    </w:p>
    <w:p>
      <w:r>
        <w:rPr>
          <w:color w:val="555555"/>
          <w:sz w:val="17"/>
        </w:rPr>
        <w:t xml:space="preserve">Zitiervorschlag: § 2 KohleUGrV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https://recht.nulegal.eu/gesetze/KohleUGrV/2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