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KochAusbV 2022 — Erwerb des Abschlusses zur Fachkraft Küche nach nicht bestandener Abschlussprüfung zum Koch und zur Köchin</w:t>
      </w:r>
    </w:p>
    <w:p>
      <w:r>
        <w:rPr>
          <w:color w:val="555555"/>
          <w:sz w:val="18"/>
        </w:rPr>
        <w:t xml:space="preserve">Kochausbildungsverordnung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Besteht der Prüfling die Prüfung nach § 16 nicht, erwirbt er auf seinen Antrag den Abschluss zur Fachkraft Küche nach der Fachkraft-Küche-Ausbildungsverordnung vom 9. März 2022 (BGBl. I S. 389), wenn</w:t>
      </w:r>
    </w:p>
    <w:p>
      <w:pPr>
        <w:ind w:left="420"/>
      </w:pPr>
      <w:r>
        <w:t xml:space="preserve">1. er in Teil 1 der Abschlussprüfung mindestens ausreichende Prüfungsleistungen erbracht hat und</w:t>
      </w:r>
    </w:p>
    <w:p>
      <w:pPr>
        <w:ind w:left="420"/>
      </w:pPr>
      <w:r>
        <w:t xml:space="preserve">2. zusätzlich</w:t>
      </w:r>
    </w:p>
    <w:p>
      <w:pPr>
        <w:ind w:left="780"/>
      </w:pPr>
      <w:r>
        <w:t xml:space="preserve">a) die Ergebnisse der in Nummer 1 bezeichneten Prüfung,</w:t>
      </w:r>
    </w:p>
    <w:p>
      <w:pPr>
        <w:ind w:left="780"/>
      </w:pPr>
      <w:r>
        <w:t xml:space="preserve">b) das Ergebnis im Prüfungsbereich „Produkte, Lagerhaltung und Warenwirtschaft“ nach § 13 und</w:t>
      </w:r>
    </w:p>
    <w:p>
      <w:pPr>
        <w:ind w:left="780"/>
      </w:pPr>
      <w:r>
        <w:t xml:space="preserve">c) das Ergebnis im Prüfungsbereich „Wirtschafts- und Sozialkunde“ nach § 15</w:t>
      </w:r>
    </w:p>
    <w:p>
      <w:r>
        <w:t xml:space="preserve">die Anforderungen nach § 16 der Fachkraft-Küche-Ausbildungsverordnung vom 9. März 2022 (BGBl. I S. 389) erfüllen.</w:t>
      </w:r>
    </w:p>
    <w:p>
      <w:r>
        <w:rPr>
          <w:color w:val="555555"/>
          <w:sz w:val="17"/>
        </w:rPr>
        <w:t xml:space="preserve">Zitiervorschlag: § 21 KochAusbV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https://recht.nulegal.eu/gesetze/KochAusbV%202022/21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