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KochAusbV 2022 — Dauer der Berufsausbildung</w:t>
      </w:r>
    </w:p>
    <w:p>
      <w:r>
        <w:rPr>
          <w:color w:val="555555"/>
          <w:sz w:val="18"/>
        </w:rPr>
        <w:t xml:space="preserve">Kochausbildungsverordnung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KochAusbV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https://recht.nulegal.eu/gesetze/KochAusbV%202022/2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KochAusbV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