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KoStrukStatRflgV</w:t>
      </w:r>
    </w:p>
    <w:p>
      <w:r>
        <w:rPr>
          <w:color w:val="555555"/>
          <w:sz w:val="18"/>
        </w:rPr>
        <w:t xml:space="preserve">Verordnung zur Abänderung der Reihenfolge der Kostenstrukturerhebungen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KoStrukStatRflgV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https://recht.nulegal.eu/gesetze/KoStrukStatRflgV/3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