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KoStrukStatRflgV</w:t>
      </w:r>
    </w:p>
    <w:p>
      <w:r>
        <w:rPr>
          <w:color w:val="555555"/>
          <w:sz w:val="18"/>
        </w:rPr>
        <w:t xml:space="preserve">Verordnung zur Abänderung der Reihenfolge der Kostenstrukturerhebungen</w:t>
      </w:r>
    </w:p>
    <w:p>
      <w:r>
        <w:rPr>
          <w:color w:val="555555"/>
          <w:sz w:val="18"/>
        </w:rPr>
        <w:t xml:space="preserve">Historische Fassung: Stand 10.06.2019 bis 04.03.2021. Dies ist nicht die aktuelle Fassung.</w:t>
      </w:r>
    </w:p>
    <w:p>
      <w:r>
        <w:t xml:space="preserve">Diese Verordnung gilt nach § 14 des Dritten Überleitungsgesetzes in Verbindung mit § 8 des Gesetzes über Kostenstrukturstatistik auch im Land Berlin.</w:t>
      </w:r>
    </w:p>
    <w:p>
      <w:r>
        <w:rPr>
          <w:color w:val="555555"/>
          <w:sz w:val="17"/>
        </w:rPr>
        <w:t xml:space="preserve">Zitiervorschlag: § 2 KoStrukStatRflgV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https://recht.nulegal.eu/gesetze/KoStrukStatRflgV/2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