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KoStrukStatG</w:t>
      </w:r>
    </w:p>
    <w:p>
      <w:r>
        <w:rPr>
          <w:color w:val="555555"/>
          <w:sz w:val="18"/>
        </w:rPr>
        <w:t xml:space="preserve">Gesetz über Kostenstrukturstatistik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Angaben zu den in § 3 Abs. 1 und 2 bezeichneten Tatbeständen beziehen sich jeweils auf ein dem Erhebungsjahr vorangegangenes Kalenderjahr oder Geschäftsjahr.</w:t>
      </w:r>
    </w:p>
    <w:p>
      <w:r>
        <w:rPr>
          <w:color w:val="555555"/>
          <w:sz w:val="17"/>
        </w:rPr>
        <w:t xml:space="preserve">Zitiervorschlag: § 4 KoStrukStatG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https://recht.nulegal.eu/gesetze/KoStrukStatG/4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