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KoStrukStatG</w:t>
      </w:r>
    </w:p>
    <w:p>
      <w:r>
        <w:rPr>
          <w:color w:val="555555"/>
          <w:sz w:val="18"/>
        </w:rPr>
        <w:t xml:space="preserve">Gesetz über Kostenstrukturstatistik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10 KoStrukStatG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