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KmV — Ordnungswidrigkeiten</w:t>
      </w:r>
    </w:p>
    <w:p>
      <w:r>
        <w:rPr>
          <w:color w:val="555555"/>
          <w:sz w:val="18"/>
        </w:rPr>
        <w:t xml:space="preserve">Kontaminanten-Verordnung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eine in § 6 Absatz 4, 5 oder 6 bezeichnete Handlung fahrlässig begeht, handelt nach § 60 Absatz 1 des Lebensmittel- und Futtermittelgesetzbuches ordnungswidrig.</w:t>
      </w:r>
    </w:p>
    <w:p>
      <w:r>
        <w:rPr>
          <w:color w:val="555555"/>
          <w:sz w:val="17"/>
        </w:rPr>
        <w:t xml:space="preserve">Zitiervorschlag: § 7 KmV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