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KmV — Probenahme und Analyse bei der amtlichen Kontrolle von Lebensmitteln auf Mykotoxine</w:t>
      </w:r>
    </w:p>
    <w:p>
      <w:r>
        <w:rPr>
          <w:color w:val="555555"/>
          <w:sz w:val="18"/>
        </w:rPr>
        <w:t xml:space="preserve">Kontaminanten-Verordnung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Bei der amtlichen Kontrolle des Mykotoxingehalts von Lebensmitteln, die nicht bereits in Abschnitt 2 des Anhangs der Verordnung (EG) Nr. 1881/2006 der Kommission vom 19. Dezember 2006 zur Festsetzung der Höchstgehalte für bestimmte Kontaminanten in Lebensmitteln (ABl. L 364 vom 20.12.2006, S. 5), die zuletzt durch die Verordnung (EU) 2019/1870 (ABl. L 289 vom 8.11.2019, S. 37; L 298 vom 19.11.2019, S. 12) geändert worden ist, aufgeführt sind müssen</w:t>
      </w:r>
    </w:p>
    <w:p>
      <w:pPr>
        <w:ind w:left="420"/>
      </w:pPr>
      <w:r>
        <w:t xml:space="preserve">1. die Proben nach den Verfahren des Anhangs I der Verordnung (EG) Nr. 401/2006 der Kommission vom 23. Februar 2006 zur Festlegung der Probenahmeverfahren und Analysemethoden für die amtliche Kontrolle des Mykotoxingehalts von Lebensmitteln (ABl. L 70 vom 9.3.2006, S. 12) entnommen werden und</w:t>
      </w:r>
    </w:p>
    <w:p>
      <w:pPr>
        <w:ind w:left="420"/>
      </w:pPr>
      <w:r>
        <w:t xml:space="preserve">2. die Probenaufbereitung und die Analysemethoden die in Anhang II der Verordnung (EG) Nr. 401/2006 beschriebenen Kriterien erfüllen.</w:t>
      </w:r>
    </w:p>
    <w:p>
      <w:r>
        <w:rPr>
          <w:color w:val="555555"/>
          <w:sz w:val="17"/>
        </w:rPr>
        <w:t xml:space="preserve">Zitiervorschlag: § 5 KmV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