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KmV — Behandlung von Lebensmitteln mit überhöhten Mykotoxingehalten</w:t>
      </w:r>
    </w:p>
    <w:p>
      <w:r>
        <w:rPr>
          <w:color w:val="555555"/>
          <w:sz w:val="18"/>
        </w:rPr>
        <w:t xml:space="preserve">Kontaminanten-Verordnung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Verbot des § 2 Absatz 1 gilt in Fällen unvermischter Erzeugnisse nicht für die Abgabe an Betriebe, die eine Behandlung durch</w:t>
      </w:r>
    </w:p>
    <w:p>
      <w:pPr>
        <w:ind w:left="420"/>
      </w:pPr>
      <w:r>
        <w:t xml:space="preserve">1. Sortierverfahren, durch die sichergestellt ist, dass die in Abschnitt 1 Nummer 1.1, 1.2 und 2 der Anlage aufgeführten Höchstgehalte für Mykotoxine nicht überschritten werden,</w:t>
      </w:r>
    </w:p>
    <w:p>
      <w:pPr>
        <w:ind w:left="420"/>
      </w:pPr>
      <w:r>
        <w:t xml:space="preserve">2. sonstige physikalische Behandlungsverfahren, durch die sichergestellt ist, dass die in Abschnitt 1 Nummer 1.1, 1.2 und 2 der Anlage aufgeführten Höchstgehalte für Mykotoxine nicht überschritten und gesundheitlich bedenkliche Abbau- oder Reaktionsprodukte der Mykotoxine vollständig beseitigt werden sowie diese Behandlungsverfahren keine sonstigen schädlichen Rückstände zur Folge haben,</w:t>
      </w:r>
    </w:p>
    <w:p>
      <w:r>
        <w:t xml:space="preserve">vornehmen.</w:t>
      </w:r>
    </w:p>
    <w:p>
      <w:r>
        <w:t xml:space="preserve">(2) Es ist verboten, die in Abschnitt 1 der Anlage genannten Lebensmittel, deren Mykotoxingehalt die dort für sie jeweils festgesetzten Höchstgehalte überschreitet, durch chemische Behandlung zu entgiften.</w:t>
      </w:r>
    </w:p>
    <w:p>
      <w:r>
        <w:rPr>
          <w:color w:val="555555"/>
          <w:sz w:val="17"/>
        </w:rPr>
        <w:t xml:space="preserve">Zitiervorschlag: § 3 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