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KmV — Höchstgehalte</w:t>
      </w:r>
    </w:p>
    <w:p>
      <w:r>
        <w:rPr>
          <w:color w:val="555555"/>
          <w:sz w:val="18"/>
        </w:rPr>
        <w:t xml:space="preserve">Kontaminanten-Verordnung</w:t>
      </w:r>
    </w:p>
    <w:p>
      <w:r>
        <w:rPr>
          <w:color w:val="555555"/>
          <w:sz w:val="18"/>
        </w:rPr>
        <w:t xml:space="preserve">Stand: 10.06.2019 (konsolidierte Textfassung, kein amtliches Inkrafttretensdatum)</w:t>
      </w:r>
    </w:p>
    <w:p>
      <w:r>
        <w:t xml:space="preserve">(1) Es ist verboten,</w:t>
      </w:r>
    </w:p>
    <w:p>
      <w:pPr>
        <w:ind w:left="420"/>
      </w:pPr>
      <w:r>
        <w:t xml:space="preserve">1. die in den Abschnitten 3 und 4 der Anlage bezeichneten Lebensmittel, deren Gehalt an Kontaminanten die dort für sie jeweils festgesetzten Höchstgehalte infolge einer Einwirkung durch Verunreinigungen der Luft, des Wassers oder des Bodens überschreitet,</w:t>
      </w:r>
    </w:p>
    <w:p>
      <w:pPr>
        <w:ind w:left="420"/>
      </w:pPr>
      <w:r>
        <w:t xml:space="preserve">2. in anderen als den in Nummer 1 genannten Fällen die in der Anlage bezeichneten Lebensmittel, deren Gehalt an Kontaminanten die dort für sie jeweils festgesetzten Höchstgehalte überschreitet,</w:t>
      </w:r>
    </w:p>
    <w:p>
      <w:r>
        <w:t xml:space="preserve">unvermischt oder nach Vermischung in den Verkehr zu bringen.</w:t>
      </w:r>
    </w:p>
    <w:p>
      <w:r>
        <w:t xml:space="preserve">(2) Für andere als in Absatz 1 bezeichnete Lebensmittel, bei deren Herstellung in der Anlage bezeichnete Lebensmittel als Zutaten verwendet worden sind, gilt, soweit in der Anlage nichts Abweichendes geregelt ist, Absatz 1 entsprechend, sofern</w:t>
      </w:r>
    </w:p>
    <w:p>
      <w:pPr>
        <w:ind w:left="420"/>
      </w:pPr>
      <w:r>
        <w:t xml:space="preserve">1. der Gehalt eines Kontaminanten in einer einzelnen Zutat einen für sie festgesetzten Höchstgehalt überschreitet oder</w:t>
      </w:r>
    </w:p>
    <w:p>
      <w:pPr>
        <w:ind w:left="420"/>
      </w:pPr>
      <w:r>
        <w:t xml:space="preserve">2. der Gehalt eines Kontaminanten in dem betreffenden Lebensmittel insgesamt den Wert überschreitet, der sich aus der Summe des für den Kontaminanten für die einzelnen Zutaten festgesetzten Höchstgehalts entsprechend dem Anteil der Zutaten am Gesamtgewicht des Lebensmittels ergibt.</w:t>
      </w:r>
    </w:p>
    <w:p>
      <w:r>
        <w:t xml:space="preserve">(3) Für getrocknete und verarbeitete Lebensmittel, für die in der Anlage nicht ausdrücklich Höchstgehalte festgelegt sind, gelten die in der Anlage festgesetzten Höchstgehalte unter Berücksichtigung der auf Grund des Trocknungsprozesses eingetretenen Konzentration oder der auf Grund des Verarbeitungsprozesses eingetretenen Konzentration oder Verdünnung, soweit in der Anlage nichts Abweichendes geregelt ist.</w:t>
      </w:r>
    </w:p>
    <w:p>
      <w:r>
        <w:rPr>
          <w:color w:val="555555"/>
          <w:sz w:val="17"/>
        </w:rPr>
        <w:t xml:space="preserve">Zitiervorschlag: § 2 KmV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