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KlimaBergV — Anrechnung von Zeiten für die nichtmaschinelle Fahrung</w:t>
      </w:r>
    </w:p>
    <w:p>
      <w:r>
        <w:rPr>
          <w:color w:val="555555"/>
          <w:sz w:val="18"/>
        </w:rPr>
        <w:t xml:space="preserve">Klima-Bergverordnung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die nach § 3 oder § 4 Abs. 2 Nr. 2 für eine Verkürzung der Beschäftigungszeiten maßgebenden Zeiten und die Beschäftigungszeiten selbst sind die Zeiten für die nichtmaschinelle Fahrung in Wettern von mehr als</w:t>
      </w:r>
    </w:p>
    <w:p>
      <w:pPr>
        <w:ind w:left="420"/>
      </w:pPr>
      <w:r>
        <w:t xml:space="preserve">1. 29 Grad C Effektivtemperatur außerhalb des Salzbergbaus oder</w:t>
      </w:r>
    </w:p>
    <w:p>
      <w:pPr>
        <w:ind w:left="420"/>
      </w:pPr>
      <w:r>
        <w:t xml:space="preserve">2. 37 Grad C Trockentemperatur im Salzbergbau</w:t>
      </w:r>
    </w:p>
    <w:p>
      <w:r>
        <w:t xml:space="preserve">insoweit anzurechnen, als sie insgesamt mehr als 15 Minuten betragen.</w:t>
      </w:r>
    </w:p>
    <w:p>
      <w:r>
        <w:rPr>
          <w:color w:val="555555"/>
          <w:sz w:val="17"/>
        </w:rPr>
        <w:t xml:space="preserve">Zitiervorschlag: § 6 KlimaBergV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https://recht.nulegal.eu/gesetze/KlimaBergV/6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