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KlimaBergV — Bekanntmachung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hat dafür zu sorgen, daß alle Personen, die unter Tage</w:t>
      </w:r>
    </w:p>
    <w:p>
      <w:pPr>
        <w:ind w:left="420"/>
      </w:pPr>
      <w:r>
        <w:t xml:space="preserve">1. außerhalb des Salzbergbaus an Betriebspunkten mit Wettern von mehr als 28 Grad C Trockentemperatur oder 25 Grad C Effektivtemperatur oder</w:t>
      </w:r>
    </w:p>
    <w:p>
      <w:pPr>
        <w:ind w:left="420"/>
      </w:pPr>
      <w:r>
        <w:t xml:space="preserve">2. im Salzbergbau an Betriebspunkten mit Wettern von mehr als 28 Grad C Trockentemperatur</w:t>
      </w:r>
    </w:p>
    <w:p>
      <w:r>
        <w:t xml:space="preserve">beschäftigt werden sollen oder beschäftigt sind, von den Vorschriften dieser Verordnung Kenntnis erhalten.</w:t>
      </w:r>
    </w:p>
    <w:p>
      <w:r>
        <w:rPr>
          <w:color w:val="555555"/>
          <w:sz w:val="17"/>
        </w:rPr>
        <w:t xml:space="preserve">Zitiervorschlag: § 14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