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KlimaBergV — Ermittlung der Temperaturwerte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jedem belegten Betriebspunkt, an dem</w:t>
      </w:r>
    </w:p>
    <w:p>
      <w:pPr>
        <w:ind w:left="420"/>
      </w:pPr>
      <w:r>
        <w:t xml:space="preserve">1. außerhalb des Salzbergbaus mit einer Trockentemperatur von mehr als 28 Grad C oder einer Effektivtemperatur von mehr als 25 Grad C oder</w:t>
      </w:r>
    </w:p>
    <w:p>
      <w:pPr>
        <w:ind w:left="420"/>
      </w:pPr>
      <w:r>
        <w:t xml:space="preserve">2. im Salzbergbau mit einer Trockentemperatur von mehr als 28 Grad C</w:t>
      </w:r>
    </w:p>
    <w:p>
      <w:r>
        <w:t xml:space="preserve">zu rechnen ist, sind innerhalb von 3 Arbeitstagen die Trockentemperatur, die Feuchttemperatur und die Wettergeschwindigkeit zu messen und ist, mit Ausnahme des Salzbergbaus, die Effektivtemperatur zu ermitteln.</w:t>
      </w:r>
    </w:p>
    <w:p>
      <w:r>
        <w:t xml:space="preserve">(2) Wird bei den Messungen eine höhere Trockentemperatur als 28 Grad C oder eine höhere Effektivtemperatur als 25 Grad C festgestellt, sind die Messungen und Ermittlungen zu wiederholen</w:t>
      </w:r>
    </w:p>
    <w:p>
      <w:pPr>
        <w:ind w:left="420"/>
      </w:pPr>
      <w:r>
        <w:t xml:space="preserve">1. außerhalb des Salzbergbaus in Abständen von längstens</w:t>
      </w:r>
    </w:p>
    <w:p>
      <w:pPr>
        <w:ind w:left="780"/>
      </w:pPr>
      <w:r>
        <w:t xml:space="preserve">a) einem Monat, solange eine Effektivtemperatur von 29 Grad C nicht überschritten wird,</w:t>
      </w:r>
    </w:p>
    <w:p>
      <w:pPr>
        <w:ind w:left="780"/>
      </w:pPr>
      <w:r>
        <w:t xml:space="preserve">b) 2 Wochen, sobald eine Effektivtemperatur von 29 Grad C überschritten wird,</w:t>
      </w:r>
    </w:p>
    <w:p>
      <w:pPr>
        <w:ind w:left="420"/>
      </w:pPr>
      <w:r>
        <w:t xml:space="preserve">2. im Salzbergbau in Abständen von längstens 2 Monaten.</w:t>
      </w:r>
    </w:p>
    <w:p>
      <w:r>
        <w:t xml:space="preserve">(3) Ist auf Grund wettertechnischer, betrieblicher oder sonstiger Veränderungen damit zu rechnen, daß einer der in den §§ 3 bis 5 genannten Temperatur- oder Klimawerte überschritten wird, sind die Messungen und Ermittlungen unverzüglich zu wiederholen.</w:t>
      </w:r>
    </w:p>
    <w:p>
      <w:r>
        <w:t xml:space="preserve">(4) Die Messungen sind zeitlich und räumlich nach den allgemein anerkannten Regeln der Technik so durchzuführen, daß die Trocken- oder Effektivtemperaturen am Betriebspunkt erfaßt werden, die auf die Beschäftigten während der Beschäftigungszeit überwiegend einwirken.</w:t>
      </w:r>
    </w:p>
    <w:p>
      <w:r>
        <w:t xml:space="preserve">(5) Benachbarte Betriebspunkte dürfen zu einem Temperatur- oder Klimabereich zusammengefaßt werden. Diesem ist die Trocken- oder Effektivtemperatur des Betriebspunktes mit dem höchsten Wert zugrunde zu legen.</w:t>
      </w:r>
    </w:p>
    <w:p>
      <w:r>
        <w:t xml:space="preserve">(6) Der zuständigen Behörde sind die Betriebspunkte unverzüglich anzuzeigen, an denen</w:t>
      </w:r>
    </w:p>
    <w:p>
      <w:pPr>
        <w:ind w:left="420"/>
      </w:pPr>
      <w:r>
        <w:t xml:space="preserve">1. außerhalb des Salzbergbaus eine Effektivtemperatur von mehr als 30 Grad C ermittelt oder</w:t>
      </w:r>
    </w:p>
    <w:p>
      <w:pPr>
        <w:ind w:left="420"/>
      </w:pPr>
      <w:r>
        <w:t xml:space="preserve">2. im Salzbergbau eine Trockentemperatur von mehr als 52 Grad C oder eine Feuchttemperatur von mehr als 27 Grad C gemessen wird.</w:t>
      </w:r>
    </w:p>
    <w:p>
      <w:r>
        <w:t xml:space="preserve">(7) Die Absätze 1 bis 6 gelten entsprechend für nicht belegte Betriebspunkte, an denen regelmäßig eine nichtmaschinelle Fahrung stattfindet und an denen außerhalb des Salzbergbaus mit einer Effektivtemperatur von mehr als 29 Grad C oder im Salzbergbau mit einer Trockentemperatur von mehr als 37 Grad C zu rechnen ist.</w:t>
      </w:r>
    </w:p>
    <w:p>
      <w:r>
        <w:rPr>
          <w:color w:val="555555"/>
          <w:sz w:val="17"/>
        </w:rPr>
        <w:t xml:space="preserve">Zitiervorschlag: § 11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