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KlimaBergV — Arbeiten in Notfällen</w:t>
      </w:r>
    </w:p>
    <w:p>
      <w:r>
        <w:rPr>
          <w:color w:val="555555"/>
          <w:sz w:val="18"/>
        </w:rPr>
        <w:t xml:space="preserve">Klima-Bergverordnung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§§ 3, 4 Abs. 1 und § 5 Abs. 1 gelten nicht</w:t>
      </w:r>
    </w:p>
    <w:p>
      <w:pPr>
        <w:ind w:left="420"/>
      </w:pPr>
      <w:r>
        <w:t xml:space="preserve">1. für den Einsatz von Grubenwehren,</w:t>
      </w:r>
    </w:p>
    <w:p>
      <w:pPr>
        <w:ind w:left="420"/>
      </w:pPr>
      <w:r>
        <w:t xml:space="preserve">2. für Arbeiten zur</w:t>
      </w:r>
    </w:p>
    <w:p>
      <w:pPr>
        <w:ind w:left="780"/>
      </w:pPr>
      <w:r>
        <w:t xml:space="preserve">a) Rettung von Personen,</w:t>
      </w:r>
    </w:p>
    <w:p>
      <w:pPr>
        <w:ind w:left="780"/>
      </w:pPr>
      <w:r>
        <w:t xml:space="preserve">b) Abwendung einer Gefahr für Leben oder Gesundheit von Personen oder</w:t>
      </w:r>
    </w:p>
    <w:p>
      <w:pPr>
        <w:ind w:left="780"/>
      </w:pPr>
      <w:r>
        <w:t xml:space="preserve">c) Abwendung eines erheblichen Schadens an bedeutenden Betriebseinrichtungen bei einem unvorhergesehenen Ereignis, wenn mit einer kurzen Einsatzzeit zu rechnen ist.</w:t>
      </w:r>
    </w:p>
    <w:p>
      <w:r>
        <w:rPr>
          <w:color w:val="555555"/>
          <w:sz w:val="17"/>
        </w:rPr>
        <w:t xml:space="preserve">Zitiervorschlag: § 10 KlimaBergV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https://recht.nulegal.eu/gesetze/KlimaBergV/10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