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KlempnerMstrV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in Verbindung mit § 1 Abs. 2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