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KlempnerMstrV — Inkrafttreten, Außerkrafttreten</w:t>
      </w:r>
    </w:p>
    <w:p>
      <w:r>
        <w:rPr>
          <w:color w:val="555555"/>
          <w:sz w:val="18"/>
        </w:rPr>
        <w:t xml:space="preserve">Klempnermeisterverordnung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Oktober 2006 in Kraft.</w:t>
      </w:r>
    </w:p>
    <w:p>
      <w:r>
        <w:rPr>
          <w:color w:val="555555"/>
          <w:sz w:val="17"/>
        </w:rPr>
        <w:t xml:space="preserve">Zitiervorschlag: § 11 KlempnerMstrV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https://recht.nulegal.eu/gesetze/KlempnerMstrV/11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