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KlempnerAusbV 2013 — Staatliche Anerkennung des Ausbildungsberufes</w:t>
      </w:r>
    </w:p>
    <w:p>
      <w:r>
        <w:rPr>
          <w:color w:val="555555"/>
          <w:sz w:val="18"/>
        </w:rPr>
        <w:t xml:space="preserve">Klempner-Ausbildungsverordnung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Klempners und der Klempnerin wird nach § 25 der Handwerksordnung zur Ausbildung für das Gewerbe 23 „Klempner“ der Anlage A der Handwerksordnung staatlich anerkannt.</w:t>
      </w:r>
    </w:p>
    <w:p>
      <w:r>
        <w:rPr>
          <w:color w:val="555555"/>
          <w:sz w:val="17"/>
        </w:rPr>
        <w:t xml:space="preserve">Zitiervorschlag: § 1 KlempnerAusbV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https://recht.nulegal.eu/gesetze/KlempnerAusbV%202013/1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KlempnerAusbV 2013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