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KlagRegV 2012</w:t>
      </w:r>
    </w:p>
    <w:p>
      <w:r>
        <w:rPr>
          <w:color w:val="555555"/>
          <w:sz w:val="18"/>
        </w:rPr>
        <w:t xml:space="preserve">Musterverfahrensregisterverordnung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Absatz 5 des Kapitalanleger-Musterverfahrensgesetzes vom 19. Oktober 2012 (BGBl. I S. 2182) verordnet das Bundesministerium der Justiz:</w:t>
      </w:r>
    </w:p>
    <w:p>
      <w:r>
        <w:rPr>
          <w:color w:val="555555"/>
          <w:sz w:val="17"/>
        </w:rPr>
        <w:t xml:space="preserve">Zitiervorschlag: Eingangsformel KlagRegV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https://recht.nulegal.eu/gesetze/KlagRegV%202012/eingangsformel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