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KlagRegV 2012 — Datensicherheit</w:t>
      </w:r>
    </w:p>
    <w:p>
      <w:r>
        <w:rPr>
          <w:color w:val="555555"/>
          <w:sz w:val="18"/>
        </w:rPr>
        <w:t xml:space="preserve">Musterverfahrensregisterverordnung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Der Betreiber des Musterverfahrensregisters hat durch organisatorische und technische Vorkehrungen sicherzustellen, dass</w:t>
      </w:r>
    </w:p>
    <w:p>
      <w:pPr>
        <w:ind w:left="420"/>
      </w:pPr>
      <w:r>
        <w:t xml:space="preserve">1. die von den Gerichten übermittelten Daten während ihrer Bekanntmachung im Musterverfahrensregister unversehrt und vollständig bleiben,</w:t>
      </w:r>
    </w:p>
    <w:p>
      <w:pPr>
        <w:ind w:left="420"/>
      </w:pPr>
      <w:r>
        <w:t xml:space="preserve">2. er von auftretenden Fehlfunktionen unverzüglich Kenntnis erlangt und diese unverzüglich behebt und</w:t>
      </w:r>
    </w:p>
    <w:p>
      <w:pPr>
        <w:ind w:left="420"/>
      </w:pPr>
      <w:r>
        <w:t xml:space="preserve">3. die Verfügbarkeit der personenbezogenen Daten und der Zugang zu ihnen bei einem physischen oder technischen Zwischenfall unverzüglich wiederhergestellt werden.</w:t>
      </w:r>
    </w:p>
    <w:p>
      <w:r>
        <w:t xml:space="preserve">(2) Der Betreiber des Musterverfahrensregisters hat ein Verfahren zur regelmäßigen Überprüfung, Bewertung und Evaluierung der Wirksamkeit der technischen und organisatorischen Maßnahmen zur Gewährleistung der Sicherheit der Datenverarbeitung vorzusehen.</w:t>
      </w:r>
    </w:p>
    <w:p>
      <w:r>
        <w:rPr>
          <w:color w:val="555555"/>
          <w:sz w:val="17"/>
        </w:rPr>
        <w:t xml:space="preserve">Zitiervorschlag: § 6 KlagRegV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https://recht.nulegal.eu/gesetze/KlagRegV%202012/6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