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KlagRegV 2012 — Einsichtnahme</w:t>
      </w:r>
    </w:p>
    <w:p>
      <w:r>
        <w:rPr>
          <w:color w:val="555555"/>
          <w:sz w:val="18"/>
        </w:rPr>
        <w:t xml:space="preserve">Musterverfahrensregisterverordnung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Die Einsichtnahme in das Musterverfahrensregister erfolgt ausschließlich auf elektronischem Weg; sie ist kostenfrei.</w:t>
      </w:r>
    </w:p>
    <w:p>
      <w:r>
        <w:t xml:space="preserve">(2) Jedermann hat das Recht, jederzeit Einsicht in das Musterverfahrensregister zu nehmen.</w:t>
      </w:r>
    </w:p>
    <w:p>
      <w:r>
        <w:t xml:space="preserve">(3) Für die Gestaltung des Registers ist die Barrierefreie-Informationstechnik-Verordnung anzuwenden.</w:t>
      </w:r>
    </w:p>
    <w:p>
      <w:r>
        <w:rPr>
          <w:color w:val="555555"/>
          <w:sz w:val="17"/>
        </w:rPr>
        <w:t xml:space="preserve">Zitiervorschlag: § 3 KlagRegV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https://recht.nulegal.eu/gesetze/KlagRegV%202012/3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