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KlagRegV 2012 — Inhalt und Aufbau des Musterverfahrensregisters</w:t>
      </w:r>
    </w:p>
    <w:p>
      <w:r>
        <w:rPr>
          <w:color w:val="555555"/>
          <w:sz w:val="18"/>
        </w:rPr>
        <w:t xml:space="preserve">Musterverfahrensregisterverordnung</w:t>
      </w:r>
    </w:p>
    <w:p>
      <w:r>
        <w:rPr>
          <w:color w:val="555555"/>
          <w:sz w:val="18"/>
        </w:rPr>
        <w:t xml:space="preserve">Stand: 20.07.2024 (konsolidierte Textfassung, kein amtliches Inkrafttretensdatum)</w:t>
      </w:r>
    </w:p>
    <w:p>
      <w:r>
        <w:t xml:space="preserve">(1) Bekanntmachungen nach dem Kapitalanleger-Musterverfahrensgesetz sind in den folgenden Rubriken vorzunehmen:</w:t>
      </w:r>
    </w:p>
    <w:p>
      <w:pPr>
        <w:ind w:left="420"/>
      </w:pPr>
      <w:r>
        <w:t xml:space="preserve">1. Musterverfahrensanträge nach § 4 des Kapitalanleger-Musterverfahrensgesetzes,</w:t>
      </w:r>
    </w:p>
    <w:p>
      <w:pPr>
        <w:ind w:left="420"/>
      </w:pPr>
      <w:r>
        <w:t xml:space="preserve">2. Vorlagebeschlüsse nach § 7 Absatz 4 des Kapitalanleger-Musterverfahrensgesetzes,</w:t>
      </w:r>
    </w:p>
    <w:p>
      <w:pPr>
        <w:ind w:left="420"/>
      </w:pPr>
      <w:r>
        <w:t xml:space="preserve">3. Eröffnungsbeschlüsse sowie Beschlüsse über die Ablehnung der Eröffnung nach § 9 Absatz 6 des Kapitalanleger-Musterverfahrensgesetzes,</w:t>
      </w:r>
    </w:p>
    <w:p>
      <w:pPr>
        <w:ind w:left="420"/>
      </w:pPr>
      <w:r>
        <w:t xml:space="preserve">4. Erweiterungsbeschlüsse sowie Beschlüsse über die Ablehnung der Erweiterung nach § 12 Absatz 5 des Kapitalanleger-Musterverfahrensgesetzes,</w:t>
      </w:r>
    </w:p>
    <w:p>
      <w:pPr>
        <w:ind w:left="420"/>
      </w:pPr>
      <w:r>
        <w:t xml:space="preserve">5. Terminsladungen und Zwischenentscheidungen nach § 14 Absatz 2 des Kapitalanleger-Musterverfahrensgesetzes,</w:t>
      </w:r>
    </w:p>
    <w:p>
      <w:pPr>
        <w:ind w:left="420"/>
      </w:pPr>
      <w:r>
        <w:t xml:space="preserve">6. Beschlüsse über die einvernehmliche Beendigung des Musterverfahrens nach § 18 Absatz 6 des Kapitalanleger-Musterverfahrensgesetzes,</w:t>
      </w:r>
    </w:p>
    <w:p>
      <w:pPr>
        <w:ind w:left="420"/>
      </w:pPr>
      <w:r>
        <w:t xml:space="preserve">7. Musterentscheide nach § 19 Absatz 1 des Kapitalanleger-Musterverfahrensgesetzes,</w:t>
      </w:r>
    </w:p>
    <w:p>
      <w:pPr>
        <w:ind w:left="420"/>
      </w:pPr>
      <w:r>
        <w:t xml:space="preserve">8. genehmigte Vergleiche nach § 22 Absatz 1 des Kapitalanleger-Musterverfahrensgesetzes,</w:t>
      </w:r>
    </w:p>
    <w:p>
      <w:pPr>
        <w:ind w:left="420"/>
      </w:pPr>
      <w:r>
        <w:t xml:space="preserve">9. Benachrichtigungen über den Eingang einer Rechtsbeschwerde nach § 23 Absatz 3 des Kapitalanleger-Musterverfahrensgesetzes,</w:t>
      </w:r>
    </w:p>
    <w:p>
      <w:pPr>
        <w:ind w:left="420"/>
      </w:pPr>
      <w:r>
        <w:t xml:space="preserve">10. Entscheidungen über die Rechtsbeschwerde nach § 23 Absatz 7 des Kapitalanleger-Musterverfahrensgesetzes,</w:t>
      </w:r>
    </w:p>
    <w:p>
      <w:pPr>
        <w:ind w:left="420"/>
      </w:pPr>
      <w:r>
        <w:t xml:space="preserve">11. Beschlüsse über die Wirksamkeit eines Vergleichs nach § 26 Absatz 1 des Kapitalanleger-Musterverfahrensgesetzes,</w:t>
      </w:r>
    </w:p>
    <w:p>
      <w:pPr>
        <w:ind w:left="420"/>
      </w:pPr>
      <w:r>
        <w:t xml:space="preserve">12. Anhörungen zur Vergütungshöhe nach § 13 Absatz 5 Satz 5 des Justizvergütungs- und -entschädigungsgesetzes und</w:t>
      </w:r>
    </w:p>
    <w:p>
      <w:pPr>
        <w:ind w:left="420"/>
      </w:pPr>
      <w:r>
        <w:t xml:space="preserve">13. Entscheidungen über Anträge auf Bewilligung einer besonderen Gebühr des Vertreters des Musterklägers nach § 41a Absatz 3 Satz 4 des Rechtsanwaltsvergütungsgesetzes.</w:t>
      </w:r>
    </w:p>
    <w:p>
      <w:r>
        <w:t xml:space="preserve">Jede Bekanntmachung muss das Datum ihrer Eintragung in das Musterverfahrensregister enthalten. Die Bekanntmachung eines Musterverfahrensantrags muss dazu das Datum seines Eingangs bei Gericht enthalten.</w:t>
      </w:r>
    </w:p>
    <w:p>
      <w:r>
        <w:t xml:space="preserve">(2) Zur vollständigen Bezeichnung der Beklagten und ihrer gesetzlichen Vertreter nach § 4 Absatz 2 Nummer 1 des Kapitalanleger-Musterverfahrensgesetzes hat das Musterverfahrensregister Angaben zum Namen oder zur Firma und zur Anschrift sowie zum Namen der gesetzlichen Vertreter und zum Vertretungsverhältnis zu enthalten. Der von dem Musterverfahrensantrag betroffene Emittent von Wertpapieren, Anbieter von sonstigen Vermögensanlagen oder Anbieter von Kryptowerte-Dienstleistungen (§ 4 Absatz 2 Nummer 2 des Kapitalanleger-Musterverfahrensgesetzes) ist im Musterverfahrensregister mit Namen oder Firma anzugeben.</w:t>
      </w:r>
    </w:p>
    <w:p>
      <w:r>
        <w:t xml:space="preserve">(3) Die Feststellungsziele eines Musterverfahrensantrags nach § 4 Absatz 2 Nummer 5 des Kapitalanleger-Musterverfahrensgesetzes sind bei seiner Eintragung mindestens einer der folgenden Kategorien zuzuordnen:</w:t>
      </w:r>
    </w:p>
    <w:p>
      <w:pPr>
        <w:ind w:left="420"/>
      </w:pPr>
      <w:r>
        <w:t xml:space="preserve">1. Angaben in Prospekten nach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die zuletzt durch die Verordnung (EU) 2023/2869 (ABl. L, 2023/2869, 20.12.2023) geändert worden ist,</w:t>
      </w:r>
    </w:p>
    <w:p>
      <w:pPr>
        <w:ind w:left="420"/>
      </w:pPr>
      <w:r>
        <w:t xml:space="preserve">2. Angaben in Wertpapier-Informationsblättern nach dem Wertpapierprospektgesetz und Informationsblättern nach dem Wertpapierhandelsgesetz,</w:t>
      </w:r>
    </w:p>
    <w:p>
      <w:pPr>
        <w:ind w:left="420"/>
      </w:pPr>
      <w:r>
        <w:t xml:space="preserve">3. Angaben in Verkaufsprospekten, Vermögensanlagen-Informationsblättern und wesentlichen Anlegerinformationen nach dem Verkaufsprospektgesetz, dem Vermögensanlagengesetz, dem Investmentgesetz in der bis einschließlich 21. Juli 2013 geltenden Fassung sowie dem Kapitalanlagegesetzbuch,</w:t>
      </w:r>
    </w:p>
    <w:p>
      <w:pPr>
        <w:ind w:left="420"/>
      </w:pPr>
      <w:r>
        <w:t xml:space="preserve">4. Angaben in Anlagebasisinformationsblättern nach der Verordnung (EU) 2020/1503 des Europäischen Parlaments und des Rates vom 7. Oktober 2020 über Europäische Schwarmfinanzierungsdienstleister für Unternehmen und zur Änderung der Verordnung (EU) 2017/1129 und der Richtlinie (EU) 2019/1937 (ABl. L 347 vom 20.10.2020, S. 1), die durch die Delegierte Verordnung (EU) 2022/1988 (ABl. L 273 vom 21.10.2022, S. 3) geändert worden ist,</w:t>
      </w:r>
    </w:p>
    <w:p>
      <w:pPr>
        <w:ind w:left="420"/>
      </w:pPr>
      <w:r>
        <w:t xml:space="preserve">5. Angaben in Kryptowerte-Whitepapern nach der Verordnung (EU) 2023/1114 des Europäischen Parlaments und des Rates vom 31. Mai 2023 über Märkte für Kryptowerte und zur Änderung der Verordnungen (EU) Nr. 1093/2010 und (EU) Nr. 1095/2010 sowie der Richtlinien 2013/36/EU und (EU) 2019/1937 (ABl. L 150 vom 9.6.2023, S. 40; L, 2024/90275, 2.5.2024), die durch die Verordnung (EU) 2023/2869 (ABl. L, 2023/2869, 20.12.2023) geändert worden ist,</w:t>
      </w:r>
    </w:p>
    <w:p>
      <w:pPr>
        <w:ind w:left="420"/>
      </w:pPr>
      <w:r>
        <w:t xml:space="preserve">6. Angaben in Mitteilungen über Insiderinformationen nach Artikel 17 der Verordnung (EU) Nr. 596/2014 des Europäischen Parlaments und des Rates vom 16. April 2014 über Marktmissbrauch (Marktmissbrauchsverordnung) und zur Aufhebung der Richtlinie 2003/6/EG des Europäischen Parlaments und des Rates und der Richtlinien 2003/124/EG, 2003/125/EG und 2004/72/EG der Kommission (ABl. L 173 vom 12.6.2014, S. 1; L 287 vom 21.10.2016, S. 320; L 348 vom 21.12.2016, S. 83), die zuletzt durch die Verordnung (EU) 2023/2869 (ABl. L, 2023/2869, 20.12.2023) geändert worden ist, sowie nach § 26 des Wertpapierhandelsgesetzes,</w:t>
      </w:r>
    </w:p>
    <w:p>
      <w:pPr>
        <w:ind w:left="420"/>
      </w:pPr>
      <w:r>
        <w:t xml:space="preserve">7. Angaben in Darstellungen, Übersichten, Vorträgen und Auskünften in der Hauptversammlung über die Verhältnisse der Gesellschaft einschließlich ihrer Beziehungen zu verbundenen Unternehmen im Sinne des § 400 Absatz 1 Nummer 1 des Aktiengesetzes,</w:t>
      </w:r>
    </w:p>
    <w:p>
      <w:pPr>
        <w:ind w:left="420"/>
      </w:pPr>
      <w:r>
        <w:t xml:space="preserve">8. Angaben in Jahresabschlüssen, Lageberichten, Konzernabschlüssen, Konzernlageberichten sowie Halbjahresfinanzberichten des Emittenten,</w:t>
      </w:r>
    </w:p>
    <w:p>
      <w:pPr>
        <w:ind w:left="420"/>
      </w:pPr>
      <w:r>
        <w:t xml:space="preserve">9. Angaben in auf den Emittenten oder Anbieter von sonstigen Vermögensanlagen bezogenen Ratings nach der Verordnung (EG) Nr. 1060/2009 des Europäischen Parlaments und des Rates vom 16. September 2009 über Ratingagenturen (ABl. L 302 vom 17.11.2009, S. 1; L 350 vom 29.12.2009, S. 59; L 145 vom 31.5.2011, S. 57), die zuletzt durch die Verordnung (EU) 2023/2869 (ABl. L, 2023/2869, 20.12.2023) geändert worden ist, sowie in Bestätigungsvermerken von Abschlussprüfern zu offenzulegenden Jahresabschlüssen und Konzernabschlüssen des Emittenten,</w:t>
      </w:r>
    </w:p>
    <w:p>
      <w:pPr>
        <w:ind w:left="420"/>
      </w:pPr>
      <w:r>
        <w:t xml:space="preserve">10. Angaben in Angebotsunterlagen im Sinne des § 11 Absatz 1 Satz 1 des Wertpapiererwerbs- und Übernahmegesetzes,</w:t>
      </w:r>
    </w:p>
    <w:p>
      <w:pPr>
        <w:ind w:left="420"/>
      </w:pPr>
      <w:r>
        <w:t xml:space="preserve">11. sonstige Kapitalmarktinformationen,</w:t>
      </w:r>
    </w:p>
    <w:p>
      <w:pPr>
        <w:ind w:left="420"/>
      </w:pPr>
      <w:r>
        <w:t xml:space="preserve">12. Vorfälle nach Artikel 75 Absatz 8 der Verordnung (EU) 2023/1114.</w:t>
      </w:r>
    </w:p>
    <w:p>
      <w:r>
        <w:t xml:space="preserve">(4) Das Musterverfahrensregister enthält eine Suchfunktion für die Gerichte, die es ermöglicht, vor der Eintragung eines Musterverfahrensantrags nach § 4 Absatz 1 Satz 1 des Kapitalanleger-Musterverfahrensgesetzes nach bereits eingetragenen, gleichgerichteten Musterverfahrensanträgen (§ 7 Absatz 1 des Kapitalanleger-Musterverfahrensgesetzes) zu suchen. Das Gericht kann den von ihm einzutragenden Musterverfahrensantrag entweder einer Liste gleichgerichteter Musterverfahrensanträge hinzufügen oder als neuen Musterverfahrensantrag eintragen.</w:t>
      </w:r>
    </w:p>
    <w:p>
      <w:r>
        <w:t xml:space="preserve">(5) Das Musterverfahrensregister enthält darüber hinaus eine allgemein zugängliche Suchfunktion, die die Suche nach den folgenden Angaben ermöglicht:</w:t>
      </w:r>
    </w:p>
    <w:p>
      <w:pPr>
        <w:ind w:left="420"/>
      </w:pPr>
      <w:r>
        <w:t xml:space="preserve">1. vollständige Bezeichnung der beklagten Partei und ihrer gesetzlichen Vertreter nach § 4 Absatz 2 Nummer 1 des Kapitalanleger-Musterverfahrensgesetzes,</w:t>
      </w:r>
    </w:p>
    <w:p>
      <w:pPr>
        <w:ind w:left="420"/>
      </w:pPr>
      <w:r>
        <w:t xml:space="preserve">2. Bezeichnung des von dem Musterverfahrensantrag betroffenen Emittenten von Wertpapieren, Anbieters von sonstigen Vermögensanlagen oder Anbieters von Kryptowerte-Dienstleistungen nach § 4 Absatz 2 Nummer 2 des Kapitalanleger-Musterverfahrensgesetzes,</w:t>
      </w:r>
    </w:p>
    <w:p>
      <w:pPr>
        <w:ind w:left="420"/>
      </w:pPr>
      <w:r>
        <w:t xml:space="preserve">3. Bezeichnung des Prozessgerichts nach § 4 Absatz 2 Nummer 3 des Kapitalanleger-Musterverfahrensgesetzes und</w:t>
      </w:r>
    </w:p>
    <w:p>
      <w:pPr>
        <w:ind w:left="420"/>
      </w:pPr>
      <w:r>
        <w:t xml:space="preserve">4. Aktenzeichen des Prozessgerichts nach § 4 Absatz 2 Nummer 4 des Kapitalanleger-Musterverfahrensgesetzes.</w:t>
      </w:r>
    </w:p>
    <w:p>
      <w:r>
        <w:rPr>
          <w:color w:val="555555"/>
          <w:sz w:val="17"/>
        </w:rPr>
        <w:t xml:space="preserve">Zitiervorschlag: § 1 KlagRegV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https://recht.nulegal.eu/gesetze/KlagRegV%202012/1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