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KlaCembAusbV 2017 — Prüfungsbereiche</w:t>
      </w:r>
    </w:p>
    <w:p>
      <w:r>
        <w:rPr>
          <w:color w:val="555555"/>
          <w:sz w:val="18"/>
        </w:rPr>
        <w:t xml:space="preserve">Klavier- und Cembalobauerausbildungsverordnung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Zwischenprüfung findet in den folgenden Prüfungsbereichen statt:</w:t>
      </w:r>
    </w:p>
    <w:p>
      <w:pPr>
        <w:ind w:left="420"/>
      </w:pPr>
      <w:r>
        <w:t xml:space="preserve">1. Herstellen von Bauteilen und</w:t>
      </w:r>
    </w:p>
    <w:p>
      <w:pPr>
        <w:ind w:left="420"/>
      </w:pPr>
      <w:r>
        <w:t xml:space="preserve">2. Teilbereiche stimmen.</w:t>
      </w:r>
    </w:p>
    <w:p>
      <w:r>
        <w:rPr>
          <w:color w:val="555555"/>
          <w:sz w:val="17"/>
        </w:rPr>
        <w:t xml:space="preserve">Zitiervorschlag: § 8 KlaCembAusbV 2017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https://recht.nulegal.eu/gesetze/KlaCembAusbV%202017/8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