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KlaCembAusbV 2017 — Inhalt</w:t>
      </w:r>
    </w:p>
    <w:p>
      <w:r>
        <w:rPr>
          <w:color w:val="555555"/>
          <w:sz w:val="18"/>
        </w:rPr>
        <w:t xml:space="preserve">Klavier- und Cembalobauerausbildungsverordnung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Abschlussprüfung oder Gesellenprüfung erstreckt sich auf</w:t>
      </w:r>
    </w:p>
    <w:p>
      <w:pPr>
        <w:ind w:left="420"/>
      </w:pPr>
      <w:r>
        <w:t xml:space="preserve">1. die in der Anlage in den Abschnitten A, C und D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rPr>
          <w:color w:val="555555"/>
          <w:sz w:val="17"/>
        </w:rPr>
        <w:t xml:space="preserve">Zitiervorschlag: § 21 KlaCembAusbV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https://recht.nulegal.eu/gesetze/KlaCembAusbV%202017/21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