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KlaCembAusbV 2017 — Prüfungsbereich Planen und Konstruieren</w:t>
      </w:r>
    </w:p>
    <w:p>
      <w:r>
        <w:rPr>
          <w:color w:val="555555"/>
          <w:sz w:val="18"/>
        </w:rPr>
        <w:t xml:space="preserve">Klavier- und Cembalobauerausbildungsverordnung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Im Prüfungsbereich Planen und Konstruieren soll der Prüfling nachweisen, dass er in der Lage ist,</w:t>
      </w:r>
    </w:p>
    <w:p>
      <w:pPr>
        <w:ind w:left="420"/>
      </w:pPr>
      <w:r>
        <w:t xml:space="preserve">1. besaitete Tasteninstrumente nach Bauweisen, Konstruktionsmerkmalen und historischen Gesichtspunkten zu unterscheiden,</w:t>
      </w:r>
    </w:p>
    <w:p>
      <w:pPr>
        <w:ind w:left="420"/>
      </w:pPr>
      <w:r>
        <w:t xml:space="preserve">2. Werk- und Hilfsstoffe unter Berücksichtigung von Arten und Eigenschaften, von Verwendungszweck und von Artenschutzbestimmungen auszuwählen, einzusetzen und zu lagern,</w:t>
      </w:r>
    </w:p>
    <w:p>
      <w:pPr>
        <w:ind w:left="420"/>
      </w:pPr>
      <w:r>
        <w:t xml:space="preserve">3. Materialbedarf zu berechnen, Zeitbedarfe zu ermitteln,</w:t>
      </w:r>
    </w:p>
    <w:p>
      <w:pPr>
        <w:ind w:left="420"/>
      </w:pPr>
      <w:r>
        <w:t xml:space="preserve">4. Arbeitsabläufe unter Berücksichtigung von ökologischen Gesichtspunkten, Produktqualität und Wirtschaftlichkeit zu planen sowie technische Unterlagen zu erstellen,</w:t>
      </w:r>
    </w:p>
    <w:p>
      <w:pPr>
        <w:ind w:left="420"/>
      </w:pPr>
      <w:r>
        <w:t xml:space="preserve">5. Werkzeuge und Maschinen auszuwählen und unter Berücksichtigung der Arbeitssicherheit und der Ergonomie einzusetzen,</w:t>
      </w:r>
    </w:p>
    <w:p>
      <w:pPr>
        <w:ind w:left="420"/>
      </w:pPr>
      <w:r>
        <w:t xml:space="preserve">6. Bearbeitungs- und Verbindungstechniken auszuwählen und anzuwenden,</w:t>
      </w:r>
    </w:p>
    <w:p>
      <w:pPr>
        <w:ind w:left="420"/>
      </w:pPr>
      <w:r>
        <w:t xml:space="preserve">7. Verfahren zur Oberflächenbehandlung unter Berücksichtigung des Gesundheits- und des Umweltschutzes auszuwählen und anzuwenden,</w:t>
      </w:r>
    </w:p>
    <w:p>
      <w:pPr>
        <w:ind w:left="420"/>
      </w:pPr>
      <w:r>
        <w:t xml:space="preserve">8. Kenntnisse der Stimmtheorie anzuwenden und Berechnungen durchzuführen,</w:t>
      </w:r>
    </w:p>
    <w:p>
      <w:pPr>
        <w:ind w:left="420"/>
      </w:pPr>
      <w:r>
        <w:t xml:space="preserve">9. klangbeeinflussende Faktoren zu unterscheiden,</w:t>
      </w:r>
    </w:p>
    <w:p>
      <w:pPr>
        <w:ind w:left="420"/>
      </w:pPr>
      <w:r>
        <w:t xml:space="preserve">10. Fehler und Schäden festzustellen, Ursachen zu ermitteln und Maßnahmen zur Behebung zu ergreifen und</w:t>
      </w:r>
    </w:p>
    <w:p>
      <w:pPr>
        <w:ind w:left="420"/>
      </w:pPr>
      <w:r>
        <w:t xml:space="preserve">11. Kundenanforderungen zu erfassen, Möglichkeiten zur Umsetzung der Kundenanforderungen darzustellen sowie Serviceleistungen anzubieten.</w:t>
      </w:r>
    </w:p>
    <w:p>
      <w:r>
        <w:t xml:space="preserve">(2) Der Prüfling soll praxisbezogene Aufgaben schriftlich bearbeiten.</w:t>
      </w:r>
    </w:p>
    <w:p>
      <w:r>
        <w:t xml:space="preserve">(3) Die Prüfungszeit beträgt 240 Minuten.</w:t>
      </w:r>
    </w:p>
    <w:p>
      <w:r>
        <w:rPr>
          <w:color w:val="555555"/>
          <w:sz w:val="17"/>
        </w:rPr>
        <w:t xml:space="preserve">Zitiervorschlag: § 17 KlaCembAusbV 2017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https://recht.nulegal.eu/gesetze/KlaCembAusbV%202017/17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