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KlaCembAusbV 2017 — Ziel und Zeitpunkt</w:t>
      </w:r>
    </w:p>
    <w:p>
      <w:r>
        <w:rPr>
          <w:color w:val="555555"/>
          <w:sz w:val="18"/>
        </w:rPr>
        <w:t xml:space="preserve">Klavier- und Cembalobauerausbildungsverordnung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Durch die Abschlussprüfung oder Gesellenprüfung ist festzustellen, ob der Prüfling die berufliche Handlungsfähigkeit erworben hat.</w:t>
      </w:r>
    </w:p>
    <w:p>
      <w:r>
        <w:t xml:space="preserve">(2) Die Abschlussprüfung oder Gesellenprüfung soll am Ende der Berufsausbildung durchgeführt werden.</w:t>
      </w:r>
    </w:p>
    <w:p>
      <w:r>
        <w:rPr>
          <w:color w:val="555555"/>
          <w:sz w:val="17"/>
        </w:rPr>
        <w:t xml:space="preserve">Zitiervorschlag: § 11 KlaCembAusbV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https://recht.nulegal.eu/gesetze/KlaCembAusbV%202017/11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