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KlaCbMstrV 2020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Auf Grund des § 51a Absatz 2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KlaCbMstrV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