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KlaCbMstrV 2020 — Ziel und Gliederung der Prüfung in Teil II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In Teil II der Meisterprüfung hat der Prüfling umfängliche und zusammenhängende Aufgaben zu lösen und dabei nachzuweisen, dass er die besonderen fachtheoretischen Kenntnisse im Klavier- und Cembalobauer-Handwerk anwendet.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Klavier- und Cembalobauer-Betriebs analysieren, Lösungen erarbeiten und anbieten“,</w:t>
      </w:r>
    </w:p>
    <w:p>
      <w:pPr>
        <w:ind w:left="420"/>
      </w:pPr>
      <w:r>
        <w:t xml:space="preserve">2. nach Maßgabe des § 10 „Leistungen eines Klavier- und Cembalobauer-Betriebs erbringen, kontrollieren und übergeben“ und</w:t>
      </w:r>
    </w:p>
    <w:p>
      <w:pPr>
        <w:ind w:left="420"/>
      </w:pPr>
      <w:r>
        <w:t xml:space="preserve">3. nach Maßgabe des § 11 „Einen Klavier- und Cembalobauer-Betrieb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KlaCbMstrV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https://recht.nulegal.eu/gesetze/KlaCbMstrV%202020/8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KlaCbMstrV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