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KlaCbMstrV 2020 — Situationsaufgabe</w:t>
      </w:r>
    </w:p>
    <w:p>
      <w:r>
        <w:rPr>
          <w:color w:val="555555"/>
          <w:sz w:val="18"/>
        </w:rPr>
        <w:t xml:space="preserve">Klavier- und Cembalobauermeisterverordnung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Die Situationsaufgabe orientiert sich an einem Kundenauftrag und vervollständigt den Nachweis der beruflichen Handlungskompetenz für die Meisterprüfung im Klavier- und Cembalobauer-Handwerk.</w:t>
      </w:r>
    </w:p>
    <w:p>
      <w:r>
        <w:t xml:space="preserve">(2) Die Situationsaufgabe wird vom Meisterprüfungsausschuss festgelegt. Der Prüfling hat ein Bauteil aus mehreren Einzelteilen auf der Basis einer Konstruktionszeichnung zu fertigen, Oberflächen zu behandeln und Verbindungen herzustellen.</w:t>
      </w:r>
    </w:p>
    <w:p>
      <w:r>
        <w:t xml:space="preserve">(3) Für die Bearbeitung der Situationsaufgabe stehen dem Prüfling acht Stunden zur Verfügung.</w:t>
      </w:r>
    </w:p>
    <w:p>
      <w:r>
        <w:rPr>
          <w:color w:val="555555"/>
          <w:sz w:val="17"/>
        </w:rPr>
        <w:t xml:space="preserve">Zitiervorschlag: § 6 KlaCbMstrV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https://recht.nulegal.eu/gesetze/KlaCbMstrV%202020/6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KlaCbMstrV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